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4" w:line="484" w:lineRule="auto"/>
        <w:ind w:left="0" w:right="703" w:firstLine="0"/>
        <w:rPr>
          <w:rFonts w:ascii="Trebuchet MS" w:cs="Trebuchet MS" w:eastAsia="Trebuchet MS" w:hAnsi="Trebuchet MS"/>
          <w:b w:val="1"/>
          <w:bCs w:val="1"/>
          <w:sz w:val="28"/>
          <w:szCs w:val="28"/>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367" w:lineRule="auto"/>
        <w:ind w:left="376"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RASCW is committed to fostering diversity and inclusion in the real estate industry. We recognize the challenges that minority real estate professionals face and aim to support their growth and success. This scholarship is designed to reimburse the </w:t>
      </w:r>
      <w:r w:rsidDel="00000000" w:rsidR="00000000" w:rsidRPr="00000000">
        <w:rPr>
          <w:sz w:val="20"/>
          <w:szCs w:val="20"/>
          <w:rtl w:val="0"/>
        </w:rPr>
        <w:t xml:space="preserve">renewal fee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for minority real estate agents who successfully complete the following program requirements:</w:t>
      </w:r>
    </w:p>
    <w:p w:rsidR="00000000" w:rsidDel="00000000" w:rsidP="00000000" w:rsidRDefault="00000000" w:rsidRPr="00000000" w14:paraId="0000000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04"/>
        </w:tabs>
        <w:spacing w:after="0" w:before="179" w:line="240" w:lineRule="auto"/>
        <w:ind w:left="1104" w:right="0" w:hanging="360"/>
        <w:jc w:val="left"/>
        <w:rPr>
          <w:rFonts w:ascii="Arial Black" w:cs="Arial Black" w:eastAsia="Arial Black" w:hAnsi="Arial Black"/>
          <w:b w:val="0"/>
          <w:bCs w:val="0"/>
          <w:i w:val="0"/>
          <w:iCs w:val="0"/>
          <w:smallCaps w:val="0"/>
          <w:strike w:val="0"/>
          <w:color w:val="000000"/>
          <w:sz w:val="20"/>
          <w:szCs w:val="20"/>
          <w:shd w:fill="auto" w:val="clear"/>
          <w:vertAlign w:val="baseline"/>
        </w:rPr>
      </w:pPr>
      <w:r w:rsidDel="00000000" w:rsidR="00000000" w:rsidRPr="00000000">
        <w:rPr>
          <w:rFonts w:ascii="Arial Black" w:cs="Arial Black" w:eastAsia="Arial Black" w:hAnsi="Arial Black"/>
          <w:b w:val="0"/>
          <w:bCs w:val="0"/>
          <w:i w:val="0"/>
          <w:iCs w:val="0"/>
          <w:smallCaps w:val="0"/>
          <w:strike w:val="0"/>
          <w:color w:val="000000"/>
          <w:sz w:val="20"/>
          <w:szCs w:val="20"/>
          <w:u w:val="none"/>
          <w:shd w:fill="auto" w:val="clear"/>
          <w:vertAlign w:val="baseline"/>
          <w:rtl w:val="0"/>
        </w:rPr>
        <w:t xml:space="preserve">Completion of four (4) mandatory real estate courses through NextKey.</w:t>
      </w:r>
    </w:p>
    <w:p w:rsidR="00000000" w:rsidDel="00000000" w:rsidP="00000000" w:rsidRDefault="00000000" w:rsidRPr="00000000" w14:paraId="0000000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04"/>
        </w:tabs>
        <w:spacing w:after="0" w:before="81" w:line="240" w:lineRule="auto"/>
        <w:ind w:left="1104" w:right="0" w:hanging="360"/>
        <w:jc w:val="left"/>
        <w:rPr>
          <w:rFonts w:ascii="Arial Black" w:cs="Arial Black" w:eastAsia="Arial Black" w:hAnsi="Arial Black"/>
          <w:b w:val="0"/>
          <w:bCs w:val="0"/>
          <w:i w:val="0"/>
          <w:iCs w:val="0"/>
          <w:smallCaps w:val="0"/>
          <w:strike w:val="0"/>
          <w:color w:val="000000"/>
          <w:sz w:val="20"/>
          <w:szCs w:val="20"/>
          <w:shd w:fill="auto" w:val="clear"/>
          <w:vertAlign w:val="baseline"/>
        </w:rPr>
      </w:pPr>
      <w:r w:rsidDel="00000000" w:rsidR="00000000" w:rsidRPr="00000000">
        <w:rPr>
          <w:rFonts w:ascii="Arial Black" w:cs="Arial Black" w:eastAsia="Arial Black" w:hAnsi="Arial Black"/>
          <w:b w:val="0"/>
          <w:bCs w:val="0"/>
          <w:i w:val="0"/>
          <w:iCs w:val="0"/>
          <w:smallCaps w:val="0"/>
          <w:strike w:val="0"/>
          <w:color w:val="000000"/>
          <w:sz w:val="20"/>
          <w:szCs w:val="20"/>
          <w:u w:val="none"/>
          <w:shd w:fill="auto" w:val="clear"/>
          <w:vertAlign w:val="baseline"/>
          <w:rtl w:val="0"/>
        </w:rPr>
        <w:t xml:space="preserve">Attendance at one (1) mentorship session.</w:t>
      </w:r>
    </w:p>
    <w:p w:rsidR="00000000" w:rsidDel="00000000" w:rsidP="00000000" w:rsidRDefault="00000000" w:rsidRPr="00000000" w14:paraId="0000000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04"/>
        </w:tabs>
        <w:spacing w:after="0" w:before="79" w:line="240" w:lineRule="auto"/>
        <w:ind w:left="1104" w:right="0" w:hanging="360"/>
        <w:jc w:val="left"/>
        <w:rPr>
          <w:rFonts w:ascii="Arial Black" w:cs="Arial Black" w:eastAsia="Arial Black" w:hAnsi="Arial Black"/>
          <w:b w:val="0"/>
          <w:bCs w:val="0"/>
          <w:i w:val="0"/>
          <w:iCs w:val="0"/>
          <w:smallCaps w:val="0"/>
          <w:strike w:val="0"/>
          <w:color w:val="000000"/>
          <w:sz w:val="20"/>
          <w:szCs w:val="20"/>
          <w:shd w:fill="auto" w:val="clear"/>
          <w:vertAlign w:val="baseline"/>
        </w:rPr>
      </w:pPr>
      <w:r w:rsidDel="00000000" w:rsidR="00000000" w:rsidRPr="00000000">
        <w:rPr>
          <w:rFonts w:ascii="Arial Black" w:cs="Arial Black" w:eastAsia="Arial Black" w:hAnsi="Arial Black"/>
          <w:b w:val="0"/>
          <w:bCs w:val="0"/>
          <w:i w:val="0"/>
          <w:iCs w:val="0"/>
          <w:smallCaps w:val="0"/>
          <w:strike w:val="0"/>
          <w:color w:val="000000"/>
          <w:sz w:val="20"/>
          <w:szCs w:val="20"/>
          <w:u w:val="none"/>
          <w:shd w:fill="auto" w:val="clear"/>
          <w:vertAlign w:val="baseline"/>
          <w:rtl w:val="0"/>
        </w:rPr>
        <w:t xml:space="preserve">Completion of one (1) year practicing real estate as an agent.</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85" w:lineRule="auto"/>
        <w:ind w:left="376"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Ten (10) scholarship awardees will receive full reimbursement for the below fees and dues (totaling up to $1,</w:t>
      </w:r>
      <w:r w:rsidDel="00000000" w:rsidR="00000000" w:rsidRPr="00000000">
        <w:rPr>
          <w:sz w:val="20"/>
          <w:szCs w:val="20"/>
          <w:rtl w:val="0"/>
        </w:rPr>
        <w:t xml:space="preserve">544</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.00). * By providing this financial support, we aim to encourage professional development, networking, and long-term success in the real estate industry.</w:t>
      </w:r>
    </w:p>
    <w:p w:rsidR="00000000" w:rsidDel="00000000" w:rsidP="00000000" w:rsidRDefault="00000000" w:rsidRPr="00000000" w14:paraId="00000007">
      <w:pPr>
        <w:tabs>
          <w:tab w:val="left" w:leader="none" w:pos="713"/>
        </w:tabs>
        <w:spacing w:after="240" w:before="240" w:lineRule="auto"/>
        <w:rPr>
          <w:b w:val="1"/>
          <w:bCs w:val="1"/>
          <w:sz w:val="20"/>
          <w:szCs w:val="20"/>
        </w:rPr>
      </w:pPr>
      <w:r w:rsidDel="00000000" w:rsidR="00000000" w:rsidRPr="00000000">
        <w:rPr>
          <w:b w:val="1"/>
          <w:bCs w:val="1"/>
          <w:sz w:val="20"/>
          <w:szCs w:val="20"/>
          <w:rtl w:val="0"/>
        </w:rPr>
        <w:t xml:space="preserve">Award Benefits</w:t>
      </w:r>
    </w:p>
    <w:p w:rsidR="00000000" w:rsidDel="00000000" w:rsidP="00000000" w:rsidRDefault="00000000" w:rsidRPr="00000000" w14:paraId="00000008">
      <w:pPr>
        <w:tabs>
          <w:tab w:val="left" w:leader="none" w:pos="713"/>
        </w:tabs>
        <w:spacing w:after="240" w:before="240" w:lineRule="auto"/>
        <w:rPr>
          <w:sz w:val="20"/>
          <w:szCs w:val="20"/>
        </w:rPr>
      </w:pPr>
      <w:r w:rsidDel="00000000" w:rsidR="00000000" w:rsidRPr="00000000">
        <w:rPr>
          <w:sz w:val="20"/>
          <w:szCs w:val="20"/>
          <w:rtl w:val="0"/>
        </w:rPr>
        <w:t xml:space="preserve">Reimbursement of the following expenses shall be provided upon completion of one (1) year of service and successful completion of the Matrix:</w:t>
      </w:r>
    </w:p>
    <w:p w:rsidR="00000000" w:rsidDel="00000000" w:rsidP="00000000" w:rsidRDefault="00000000" w:rsidRPr="00000000" w14:paraId="00000009">
      <w:pPr>
        <w:numPr>
          <w:ilvl w:val="0"/>
          <w:numId w:val="1"/>
        </w:numPr>
        <w:tabs>
          <w:tab w:val="left" w:leader="none" w:pos="713"/>
        </w:tabs>
        <w:spacing w:after="0" w:afterAutospacing="0" w:before="240" w:lineRule="auto"/>
        <w:ind w:left="720" w:hanging="360"/>
        <w:rPr>
          <w:sz w:val="20"/>
          <w:szCs w:val="20"/>
        </w:rPr>
      </w:pPr>
      <w:r w:rsidDel="00000000" w:rsidR="00000000" w:rsidRPr="00000000">
        <w:rPr>
          <w:sz w:val="20"/>
          <w:szCs w:val="20"/>
          <w:rtl w:val="0"/>
        </w:rPr>
        <w:t xml:space="preserve">The renewal fee for RASCW REALTOR® dues </w:t>
      </w:r>
      <w:r w:rsidDel="00000000" w:rsidR="00000000" w:rsidRPr="00000000">
        <w:rPr>
          <w:sz w:val="20"/>
          <w:szCs w:val="20"/>
          <w:rtl w:val="0"/>
        </w:rPr>
        <w:t xml:space="preserve">in the amount of</w:t>
      </w:r>
      <w:r w:rsidDel="00000000" w:rsidR="00000000" w:rsidRPr="00000000">
        <w:rPr>
          <w:sz w:val="20"/>
          <w:szCs w:val="20"/>
          <w:rtl w:val="0"/>
        </w:rPr>
        <w:t xml:space="preserve"> $909, which includes National, State, and Local dues. (Excludes any initiation, application, or processing fees.)</w:t>
        <w:br w:type="textWrapping"/>
      </w:r>
    </w:p>
    <w:p w:rsidR="00000000" w:rsidDel="00000000" w:rsidP="00000000" w:rsidRDefault="00000000" w:rsidRPr="00000000" w14:paraId="0000000A">
      <w:pPr>
        <w:numPr>
          <w:ilvl w:val="0"/>
          <w:numId w:val="1"/>
        </w:numPr>
        <w:tabs>
          <w:tab w:val="left" w:leader="none" w:pos="713"/>
        </w:tabs>
        <w:spacing w:after="0" w:afterAutospacing="0" w:before="0" w:beforeAutospacing="0" w:lineRule="auto"/>
        <w:ind w:left="720" w:hanging="360"/>
        <w:rPr>
          <w:sz w:val="20"/>
          <w:szCs w:val="20"/>
        </w:rPr>
      </w:pPr>
      <w:r w:rsidDel="00000000" w:rsidR="00000000" w:rsidRPr="00000000">
        <w:rPr>
          <w:sz w:val="20"/>
          <w:szCs w:val="20"/>
          <w:rtl w:val="0"/>
        </w:rPr>
        <w:t xml:space="preserve">One year of SCWMLS dues, reimbursed up to $325.</w:t>
        <w:br w:type="textWrapping"/>
      </w:r>
    </w:p>
    <w:p w:rsidR="00000000" w:rsidDel="00000000" w:rsidP="00000000" w:rsidRDefault="00000000" w:rsidRPr="00000000" w14:paraId="0000000B">
      <w:pPr>
        <w:numPr>
          <w:ilvl w:val="0"/>
          <w:numId w:val="1"/>
        </w:numPr>
        <w:tabs>
          <w:tab w:val="left" w:leader="none" w:pos="713"/>
        </w:tabs>
        <w:spacing w:after="0" w:afterAutospacing="0" w:before="0" w:beforeAutospacing="0" w:lineRule="auto"/>
        <w:ind w:left="720" w:hanging="360"/>
        <w:rPr>
          <w:sz w:val="20"/>
          <w:szCs w:val="20"/>
        </w:rPr>
      </w:pPr>
      <w:r w:rsidDel="00000000" w:rsidR="00000000" w:rsidRPr="00000000">
        <w:rPr>
          <w:sz w:val="20"/>
          <w:szCs w:val="20"/>
          <w:rtl w:val="0"/>
        </w:rPr>
        <w:t xml:space="preserve">The Supra™ eKEY application and one year of lockbox access fees, reimbursed in the amount of $175. (Excludes processing fees.)</w:t>
        <w:br w:type="textWrapping"/>
      </w:r>
    </w:p>
    <w:p w:rsidR="00000000" w:rsidDel="00000000" w:rsidP="00000000" w:rsidRDefault="00000000" w:rsidRPr="00000000" w14:paraId="0000000C">
      <w:pPr>
        <w:numPr>
          <w:ilvl w:val="0"/>
          <w:numId w:val="1"/>
        </w:numPr>
        <w:tabs>
          <w:tab w:val="left" w:leader="none" w:pos="713"/>
        </w:tabs>
        <w:spacing w:after="0" w:afterAutospacing="0" w:before="0" w:beforeAutospacing="0" w:lineRule="auto"/>
        <w:ind w:left="720" w:hanging="360"/>
        <w:rPr>
          <w:sz w:val="20"/>
          <w:szCs w:val="20"/>
        </w:rPr>
      </w:pPr>
      <w:r w:rsidDel="00000000" w:rsidR="00000000" w:rsidRPr="00000000">
        <w:rPr>
          <w:sz w:val="20"/>
          <w:szCs w:val="20"/>
          <w:rtl w:val="0"/>
        </w:rPr>
        <w:t xml:space="preserve">One year of membership in the Dane County Home Buyers Round Table, reimbursed in the amount of $75.</w:t>
        <w:br w:type="textWrapping"/>
      </w:r>
    </w:p>
    <w:p w:rsidR="00000000" w:rsidDel="00000000" w:rsidP="00000000" w:rsidRDefault="00000000" w:rsidRPr="00000000" w14:paraId="0000000D">
      <w:pPr>
        <w:numPr>
          <w:ilvl w:val="0"/>
          <w:numId w:val="1"/>
        </w:numPr>
        <w:tabs>
          <w:tab w:val="left" w:leader="none" w:pos="713"/>
        </w:tabs>
        <w:spacing w:after="240" w:before="0" w:beforeAutospacing="0" w:lineRule="auto"/>
        <w:ind w:left="720" w:hanging="360"/>
        <w:rPr>
          <w:sz w:val="20"/>
          <w:szCs w:val="20"/>
        </w:rPr>
      </w:pPr>
      <w:r w:rsidDel="00000000" w:rsidR="00000000" w:rsidRPr="00000000">
        <w:rPr>
          <w:sz w:val="20"/>
          <w:szCs w:val="20"/>
          <w:rtl w:val="0"/>
        </w:rPr>
        <w:t xml:space="preserve">Admission fees to RASCW membership meetings for one year, reimbursed in the amount of $60.</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spacing w:line="319" w:lineRule="auto"/>
        <w:ind w:left="352" w:right="703" w:hanging="1.0000000000000142"/>
        <w:rPr>
          <w:i w:val="1"/>
          <w:iCs w:val="1"/>
          <w:sz w:val="16"/>
          <w:szCs w:val="16"/>
        </w:rPr>
      </w:pPr>
      <w:r w:rsidDel="00000000" w:rsidR="00000000" w:rsidRPr="00000000">
        <w:rPr>
          <w:i w:val="1"/>
          <w:iCs w:val="1"/>
          <w:sz w:val="16"/>
          <w:szCs w:val="16"/>
          <w:rtl w:val="0"/>
        </w:rPr>
        <w:t xml:space="preserve">* Brokerages may assist applicants by covering their fees and dues, and if so, would receive the reimbursement.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Arial" w:cs="Arial" w:eastAsia="Arial" w:hAnsi="Arial"/>
          <w:b w:val="0"/>
          <w:bCs w:val="0"/>
          <w:i w:val="1"/>
          <w:iCs w:val="1"/>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A">
      <w:pPr>
        <w:ind w:left="3679" w:firstLine="0"/>
        <w:rPr>
          <w:sz w:val="14"/>
          <w:szCs w:val="14"/>
        </w:rPr>
      </w:pPr>
      <w:r w:rsidDel="00000000" w:rsidR="00000000" w:rsidRPr="00000000">
        <w:rPr>
          <w:sz w:val="14"/>
          <w:szCs w:val="14"/>
          <w:rtl w:val="0"/>
        </w:rPr>
        <w:t xml:space="preserve">4801 Forest Run Road, Suite 101</w:t>
      </w:r>
      <w:r w:rsidDel="00000000" w:rsidR="00000000" w:rsidRPr="00000000">
        <w:drawing>
          <wp:anchor allowOverlap="1" behindDoc="0" distB="0" distT="0" distL="0" distR="0" hidden="0" layoutInCell="1" locked="0" relativeHeight="0" simplePos="0">
            <wp:simplePos x="0" y="0"/>
            <wp:positionH relativeFrom="column">
              <wp:posOffset>862964</wp:posOffset>
            </wp:positionH>
            <wp:positionV relativeFrom="paragraph">
              <wp:posOffset>-109442</wp:posOffset>
            </wp:positionV>
            <wp:extent cx="481963" cy="562597"/>
            <wp:effectExtent b="0" l="0" r="0" t="0"/>
            <wp:wrapNone/>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81963" cy="562597"/>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4858397</wp:posOffset>
            </wp:positionH>
            <wp:positionV relativeFrom="paragraph">
              <wp:posOffset>-139300</wp:posOffset>
            </wp:positionV>
            <wp:extent cx="628637" cy="641984"/>
            <wp:effectExtent b="0" l="0" r="0" t="0"/>
            <wp:wrapNone/>
            <wp:docPr id="7"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628637" cy="641984"/>
                    </a:xfrm>
                    <a:prstGeom prst="rect"/>
                    <a:ln/>
                  </pic:spPr>
                </pic:pic>
              </a:graphicData>
            </a:graphic>
          </wp:anchor>
        </w:drawing>
      </w:r>
    </w:p>
    <w:p w:rsidR="00000000" w:rsidDel="00000000" w:rsidP="00000000" w:rsidRDefault="00000000" w:rsidRPr="00000000" w14:paraId="0000001B">
      <w:pPr>
        <w:spacing w:before="65" w:line="304" w:lineRule="auto"/>
        <w:ind w:left="3645" w:right="3801" w:firstLine="318.9999999999998"/>
        <w:rPr>
          <w:sz w:val="14"/>
          <w:szCs w:val="14"/>
        </w:rPr>
        <w:sectPr>
          <w:headerReference r:id="rId9" w:type="default"/>
          <w:pgSz w:h="15840" w:w="12240" w:orient="portrait"/>
          <w:pgMar w:bottom="0" w:top="720" w:left="1080" w:right="1440" w:header="720" w:footer="720"/>
          <w:pgNumType w:start="1"/>
        </w:sectPr>
      </w:pPr>
      <w:r w:rsidDel="00000000" w:rsidR="00000000" w:rsidRPr="00000000">
        <w:rPr>
          <w:sz w:val="14"/>
          <w:szCs w:val="14"/>
          <w:rtl w:val="0"/>
        </w:rPr>
        <w:t xml:space="preserve">Madison, WI 53704-7337 P: 608.240.2800 </w:t>
      </w:r>
      <w:r w:rsidDel="00000000" w:rsidR="00000000" w:rsidRPr="00000000">
        <w:rPr>
          <w:rFonts w:ascii="Cambria Math" w:cs="Cambria Math" w:eastAsia="Cambria Math" w:hAnsi="Cambria Math"/>
          <w:color w:val="9e6927"/>
          <w:sz w:val="20"/>
          <w:szCs w:val="20"/>
          <w:rtl w:val="0"/>
        </w:rPr>
        <w:t xml:space="preserve">■</w:t>
      </w:r>
      <w:r w:rsidDel="00000000" w:rsidR="00000000" w:rsidRPr="00000000">
        <w:rPr>
          <w:sz w:val="14"/>
          <w:szCs w:val="14"/>
          <w:rtl w:val="0"/>
        </w:rPr>
        <w:t xml:space="preserve">RASCW.o</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spacing w:before="1" w:lineRule="auto"/>
        <w:ind w:left="352" w:firstLine="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Eligibility Requirements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352"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 be considered for this scholarship, applicants must:</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89"/>
        </w:tabs>
        <w:spacing w:after="0" w:before="191" w:line="319" w:lineRule="auto"/>
        <w:ind w:left="789" w:right="1376" w:hanging="361"/>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Identify as a member of a historically underrepresented minority group in the real estate industry.</w:t>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89"/>
        </w:tabs>
        <w:spacing w:after="0" w:before="93" w:line="321" w:lineRule="auto"/>
        <w:ind w:left="789" w:right="1114" w:hanging="361"/>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Have a current Wisconsin Real Estate license (newly obtained within the past 12 months).</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89"/>
        </w:tabs>
        <w:spacing w:after="0" w:before="90" w:line="240" w:lineRule="auto"/>
        <w:ind w:left="789" w:right="0" w:hanging="36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 affiliated with a RASCW Broker/Office.</w:t>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90"/>
        </w:tabs>
        <w:spacing w:after="0" w:before="174" w:line="240" w:lineRule="auto"/>
        <w:ind w:left="790" w:right="0" w:hanging="36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 an active member of RASCW.</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90"/>
        </w:tabs>
        <w:spacing w:after="0" w:before="177" w:line="321" w:lineRule="auto"/>
        <w:ind w:left="790" w:right="1155" w:hanging="361"/>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Commit to completing all program requirements within their first year as an agent.</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spacing w:before="1" w:lineRule="auto"/>
        <w:ind w:left="358" w:firstLine="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Application Instructions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35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Applications will be accepted beginning April 1, 2026, until June 30, 2026.</w:t>
      </w:r>
    </w:p>
    <w:p w:rsidR="00000000" w:rsidDel="00000000" w:rsidP="00000000" w:rsidRDefault="00000000" w:rsidRPr="00000000" w14:paraId="00000027">
      <w:pPr>
        <w:spacing w:before="167" w:line="254" w:lineRule="auto"/>
        <w:ind w:left="358" w:firstLine="0"/>
        <w:rPr>
          <w:sz w:val="20"/>
          <w:szCs w:val="20"/>
        </w:rPr>
      </w:pPr>
      <w:r w:rsidDel="00000000" w:rsidR="00000000" w:rsidRPr="00000000">
        <w:rPr>
          <w:sz w:val="20"/>
          <w:szCs w:val="20"/>
          <w:rtl w:val="0"/>
        </w:rPr>
        <w:t xml:space="preserve">Please email the completed applicant information survey with the required supporting documentation</w:t>
      </w:r>
      <w:r w:rsidDel="00000000" w:rsidR="00000000" w:rsidRPr="00000000">
        <w:rPr>
          <w:rFonts w:ascii="Arial Black" w:cs="Arial Black" w:eastAsia="Arial Black" w:hAnsi="Arial Black"/>
          <w:sz w:val="20"/>
          <w:szCs w:val="20"/>
          <w:rtl w:val="0"/>
        </w:rPr>
        <w:t xml:space="preserve"> </w:t>
      </w:r>
      <w:r w:rsidDel="00000000" w:rsidR="00000000" w:rsidRPr="00000000">
        <w:rPr>
          <w:sz w:val="20"/>
          <w:szCs w:val="20"/>
          <w:rtl w:val="0"/>
        </w:rPr>
        <w:t xml:space="preserve">during the open application window.</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398" w:lineRule="auto"/>
        <w:ind w:left="358" w:right="2242" w:hanging="1.0000000000000142"/>
        <w:jc w:val="left"/>
        <w:rPr>
          <w:rFonts w:ascii="Arial" w:cs="Arial" w:eastAsia="Arial" w:hAnsi="Arial"/>
          <w:b w:val="0"/>
          <w:bCs w:val="0"/>
          <w:i w:val="0"/>
          <w:iCs w:val="0"/>
          <w:smallCaps w:val="0"/>
          <w:strike w:val="0"/>
          <w:color w:val="000000"/>
          <w:sz w:val="20"/>
          <w:szCs w:val="20"/>
          <w:u w:val="none"/>
          <w:shd w:fill="auto" w:val="clear"/>
          <w:vertAlign w:val="baseline"/>
        </w:rPr>
        <w:sectPr>
          <w:headerReference r:id="rId10" w:type="default"/>
          <w:type w:val="nextPage"/>
          <w:pgSz w:h="15840" w:w="12240" w:orient="portrait"/>
          <w:pgMar w:bottom="280" w:top="1180" w:left="1080" w:right="1440" w:header="570" w:footer="0"/>
          <w:pgNumType w:start="2"/>
        </w:sectPr>
      </w:pPr>
      <w:r w:rsidDel="00000000" w:rsidR="00000000" w:rsidRPr="00000000">
        <w:rPr>
          <w:rtl w:val="0"/>
        </w:rPr>
      </w:r>
    </w:p>
    <w:p w:rsidR="00000000" w:rsidDel="00000000" w:rsidP="00000000" w:rsidRDefault="00000000" w:rsidRPr="00000000" w14:paraId="00000029">
      <w:pPr>
        <w:tabs>
          <w:tab w:val="left" w:leader="none" w:pos="1070"/>
        </w:tabs>
        <w:spacing w:after="240" w:before="240" w:line="248.00000000000006" w:lineRule="auto"/>
        <w:ind w:left="0" w:firstLine="0"/>
        <w:rPr>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0"/>
        </w:tabs>
        <w:spacing w:after="0" w:before="0" w:line="248.00000000000006" w:lineRule="auto"/>
        <w:ind w:left="0" w:right="0" w:firstLine="0"/>
        <w:jc w:val="left"/>
        <w:rPr>
          <w:sz w:val="26"/>
          <w:szCs w:val="26"/>
        </w:rPr>
      </w:pPr>
      <w:r w:rsidDel="00000000" w:rsidR="00000000" w:rsidRPr="00000000">
        <w:rPr>
          <w:rtl w:val="0"/>
        </w:rPr>
      </w:r>
    </w:p>
    <w:sectPr>
      <w:type w:val="nextPage"/>
      <w:pgSz w:h="15840" w:w="12240" w:orient="portrait"/>
      <w:pgMar w:bottom="280" w:top="1180" w:left="1080" w:right="1440" w:header="57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Georgia"/>
  <w:font w:name="Times New Roman"/>
  <w:font w:name="Arial Black">
    <w:embedRegular w:fontKey="{00000000-0000-0000-0000-000000000000}" r:id="rId1" w:subsetted="0"/>
  </w:font>
  <w:font w:name="Cambria Math">
    <w:embedRegular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spacing w:before="4" w:line="484" w:lineRule="auto"/>
      <w:ind w:left="0" w:right="703" w:firstLine="0"/>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ind w:left="295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2632448" cy="709422"/>
          <wp:effectExtent b="0" l="0" r="0" t="0"/>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32448" cy="709422"/>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before="4" w:line="484" w:lineRule="auto"/>
      <w:ind w:left="1269" w:right="703" w:firstLine="260.99999999999994"/>
      <w:rPr>
        <w:rFonts w:ascii="Trebuchet MS" w:cs="Trebuchet MS" w:eastAsia="Trebuchet MS" w:hAnsi="Trebuchet MS"/>
        <w:b w:val="1"/>
        <w:bCs w:val="1"/>
        <w:color w:val="1f3d7d"/>
        <w:sz w:val="28"/>
        <w:szCs w:val="28"/>
      </w:rPr>
    </w:pPr>
    <w:r w:rsidDel="00000000" w:rsidR="00000000" w:rsidRPr="00000000">
      <w:rPr>
        <w:rFonts w:ascii="Trebuchet MS" w:cs="Trebuchet MS" w:eastAsia="Trebuchet MS" w:hAnsi="Trebuchet MS"/>
        <w:b w:val="1"/>
        <w:bCs w:val="1"/>
        <w:color w:val="1f3d7d"/>
        <w:sz w:val="28"/>
        <w:szCs w:val="28"/>
        <w:rtl w:val="0"/>
      </w:rPr>
      <w:t xml:space="preserve">REALTORS® Association of South Central Wisconsin </w:t>
    </w:r>
  </w:p>
  <w:p w:rsidR="00000000" w:rsidDel="00000000" w:rsidP="00000000" w:rsidRDefault="00000000" w:rsidRPr="00000000" w14:paraId="0000002E">
    <w:pPr>
      <w:spacing w:before="4" w:line="484" w:lineRule="auto"/>
      <w:ind w:left="1269" w:right="703" w:firstLine="260.99999999999994"/>
      <w:rPr/>
    </w:pPr>
    <w:r w:rsidDel="00000000" w:rsidR="00000000" w:rsidRPr="00000000">
      <w:rPr>
        <w:rFonts w:ascii="Trebuchet MS" w:cs="Trebuchet MS" w:eastAsia="Trebuchet MS" w:hAnsi="Trebuchet MS"/>
        <w:b w:val="1"/>
        <w:bCs w:val="1"/>
        <w:sz w:val="28"/>
        <w:szCs w:val="28"/>
        <w:rtl w:val="0"/>
      </w:rPr>
      <w:t xml:space="preserve">2026 Minority Real Estate Agent Scholarship Application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89" w:hanging="360.99999999999994"/>
      </w:pPr>
      <w:rPr>
        <w:rFonts w:ascii="Arial" w:cs="Arial" w:eastAsia="Arial" w:hAnsi="Arial"/>
        <w:b w:val="0"/>
        <w:bCs w:val="0"/>
        <w:i w:val="0"/>
        <w:iCs w:val="0"/>
        <w:sz w:val="22"/>
        <w:szCs w:val="22"/>
      </w:rPr>
    </w:lvl>
    <w:lvl w:ilvl="1">
      <w:start w:val="0"/>
      <w:numFmt w:val="bullet"/>
      <w:lvlText w:val="•"/>
      <w:lvlJc w:val="left"/>
      <w:pPr>
        <w:ind w:left="1674" w:hanging="361"/>
      </w:pPr>
      <w:rPr/>
    </w:lvl>
    <w:lvl w:ilvl="2">
      <w:start w:val="0"/>
      <w:numFmt w:val="bullet"/>
      <w:lvlText w:val="•"/>
      <w:lvlJc w:val="left"/>
      <w:pPr>
        <w:ind w:left="2568" w:hanging="361"/>
      </w:pPr>
      <w:rPr/>
    </w:lvl>
    <w:lvl w:ilvl="3">
      <w:start w:val="0"/>
      <w:numFmt w:val="bullet"/>
      <w:lvlText w:val="•"/>
      <w:lvlJc w:val="left"/>
      <w:pPr>
        <w:ind w:left="3462" w:hanging="361.00000000000045"/>
      </w:pPr>
      <w:rPr/>
    </w:lvl>
    <w:lvl w:ilvl="4">
      <w:start w:val="0"/>
      <w:numFmt w:val="bullet"/>
      <w:lvlText w:val="•"/>
      <w:lvlJc w:val="left"/>
      <w:pPr>
        <w:ind w:left="4356" w:hanging="361"/>
      </w:pPr>
      <w:rPr/>
    </w:lvl>
    <w:lvl w:ilvl="5">
      <w:start w:val="0"/>
      <w:numFmt w:val="bullet"/>
      <w:lvlText w:val="•"/>
      <w:lvlJc w:val="left"/>
      <w:pPr>
        <w:ind w:left="5250" w:hanging="361"/>
      </w:pPr>
      <w:rPr/>
    </w:lvl>
    <w:lvl w:ilvl="6">
      <w:start w:val="0"/>
      <w:numFmt w:val="bullet"/>
      <w:lvlText w:val="•"/>
      <w:lvlJc w:val="left"/>
      <w:pPr>
        <w:ind w:left="6144" w:hanging="361"/>
      </w:pPr>
      <w:rPr/>
    </w:lvl>
    <w:lvl w:ilvl="7">
      <w:start w:val="0"/>
      <w:numFmt w:val="bullet"/>
      <w:lvlText w:val="•"/>
      <w:lvlJc w:val="left"/>
      <w:pPr>
        <w:ind w:left="7038" w:hanging="361.0000000000009"/>
      </w:pPr>
      <w:rPr/>
    </w:lvl>
    <w:lvl w:ilvl="8">
      <w:start w:val="0"/>
      <w:numFmt w:val="bullet"/>
      <w:lvlText w:val="•"/>
      <w:lvlJc w:val="left"/>
      <w:pPr>
        <w:ind w:left="7932" w:hanging="361"/>
      </w:pPr>
      <w:rPr/>
    </w:lvl>
  </w:abstractNum>
  <w:abstractNum w:abstractNumId="3">
    <w:lvl w:ilvl="0">
      <w:start w:val="0"/>
      <w:numFmt w:val="bullet"/>
      <w:lvlText w:val="•"/>
      <w:lvlJc w:val="left"/>
      <w:pPr>
        <w:ind w:left="1104" w:hanging="360.9999999999999"/>
      </w:pPr>
      <w:rPr>
        <w:rFonts w:ascii="Open Sans" w:cs="Open Sans" w:eastAsia="Open Sans" w:hAnsi="Open Sans"/>
        <w:b w:val="0"/>
        <w:bCs w:val="0"/>
        <w:i w:val="0"/>
        <w:iCs w:val="0"/>
        <w:sz w:val="22"/>
        <w:szCs w:val="22"/>
      </w:rPr>
    </w:lvl>
    <w:lvl w:ilvl="1">
      <w:start w:val="0"/>
      <w:numFmt w:val="bullet"/>
      <w:lvlText w:val="•"/>
      <w:lvlJc w:val="left"/>
      <w:pPr>
        <w:ind w:left="1962" w:hanging="361"/>
      </w:pPr>
      <w:rPr/>
    </w:lvl>
    <w:lvl w:ilvl="2">
      <w:start w:val="0"/>
      <w:numFmt w:val="bullet"/>
      <w:lvlText w:val="•"/>
      <w:lvlJc w:val="left"/>
      <w:pPr>
        <w:ind w:left="2824" w:hanging="361"/>
      </w:pPr>
      <w:rPr/>
    </w:lvl>
    <w:lvl w:ilvl="3">
      <w:start w:val="0"/>
      <w:numFmt w:val="bullet"/>
      <w:lvlText w:val="•"/>
      <w:lvlJc w:val="left"/>
      <w:pPr>
        <w:ind w:left="3686" w:hanging="361"/>
      </w:pPr>
      <w:rPr/>
    </w:lvl>
    <w:lvl w:ilvl="4">
      <w:start w:val="0"/>
      <w:numFmt w:val="bullet"/>
      <w:lvlText w:val="•"/>
      <w:lvlJc w:val="left"/>
      <w:pPr>
        <w:ind w:left="4548" w:hanging="361"/>
      </w:pPr>
      <w:rPr/>
    </w:lvl>
    <w:lvl w:ilvl="5">
      <w:start w:val="0"/>
      <w:numFmt w:val="bullet"/>
      <w:lvlText w:val="•"/>
      <w:lvlJc w:val="left"/>
      <w:pPr>
        <w:ind w:left="5410" w:hanging="361"/>
      </w:pPr>
      <w:rPr/>
    </w:lvl>
    <w:lvl w:ilvl="6">
      <w:start w:val="0"/>
      <w:numFmt w:val="bullet"/>
      <w:lvlText w:val="•"/>
      <w:lvlJc w:val="left"/>
      <w:pPr>
        <w:ind w:left="6272" w:hanging="361"/>
      </w:pPr>
      <w:rPr/>
    </w:lvl>
    <w:lvl w:ilvl="7">
      <w:start w:val="0"/>
      <w:numFmt w:val="bullet"/>
      <w:lvlText w:val="•"/>
      <w:lvlJc w:val="left"/>
      <w:pPr>
        <w:ind w:left="7134" w:hanging="361"/>
      </w:pPr>
      <w:rPr/>
    </w:lvl>
    <w:lvl w:ilvl="8">
      <w:start w:val="0"/>
      <w:numFmt w:val="bullet"/>
      <w:lvlText w:val="•"/>
      <w:lvlJc w:val="left"/>
      <w:pPr>
        <w:ind w:left="7996" w:hanging="361"/>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45"/>
    </w:pPr>
    <w:rPr>
      <w:rFonts w:ascii="Trebuchet MS" w:cs="Trebuchet MS" w:eastAsia="Trebuchet MS" w:hAnsi="Trebuchet MS"/>
      <w:b w:val="1"/>
      <w:bCs w:val="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style>
  <w:style w:type="paragraph" w:styleId="ListParagraph">
    <w:name w:val="List Paragraph"/>
    <w:basedOn w:val="Normal"/>
    <w:uiPriority w:val="1"/>
    <w:qFormat w:val="1"/>
    <w:pPr>
      <w:ind w:left="713" w:hanging="361"/>
    </w:pPr>
  </w:style>
  <w:style w:type="paragraph" w:styleId="TableParagraph" w:customStyle="1">
    <w:name w:val="Table Paragraph"/>
    <w:basedOn w:val="Normal"/>
    <w:uiPriority w:val="1"/>
    <w:qFormat w:val="1"/>
    <w:pPr>
      <w:spacing w:before="89"/>
      <w:ind w:left="-59" w:right="-2708"/>
    </w:pPr>
  </w:style>
  <w:style w:type="character" w:styleId="Hyperlink">
    <w:name w:val="Hyperlink"/>
    <w:basedOn w:val="DefaultParagraphFont"/>
    <w:uiPriority w:val="99"/>
    <w:unhideWhenUsed w:val="1"/>
    <w:rsid w:val="00C343FF"/>
    <w:rPr>
      <w:color w:val="0000ff" w:themeColor="hyperlink"/>
      <w:u w:val="single"/>
    </w:rPr>
  </w:style>
  <w:style w:type="character" w:styleId="UnresolvedMention">
    <w:name w:val="Unresolved Mention"/>
    <w:basedOn w:val="DefaultParagraphFont"/>
    <w:uiPriority w:val="99"/>
    <w:semiHidden w:val="1"/>
    <w:unhideWhenUsed w:val="1"/>
    <w:rsid w:val="00C343F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 Id="rId2" Type="http://schemas.openxmlformats.org/officeDocument/2006/relationships/font" Target="fonts/CambriaMath-regular.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ZIITgctb0kv2qU1ZRguile1x9Q==">CgMxLjA4AHIhMWFnSFdyY3ZSbDJHY0hYdmtmejNINFRlT2U2dURTMUct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2026-01-09T20:36:00Z</dcterms:created>
  <dc:creator>chesed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Acrobat PDFMaker 25 for Word</vt:lpwstr>
  </property>
  <property fmtid="{D5CDD505-2E9C-101B-9397-08002B2CF9AE}" pid="4" name="GrammarlyDocumentId">
    <vt:lpwstr>fdf85a3dd36f47d00eb6883f7e5df57b7105f36d616e33c3b44d8a980e3e2b91</vt:lpwstr>
  </property>
  <property fmtid="{D5CDD505-2E9C-101B-9397-08002B2CF9AE}" pid="5" name="LastSaved">
    <vt:filetime>2026-01-09T00:00:00Z</vt:filetime>
  </property>
  <property fmtid="{D5CDD505-2E9C-101B-9397-08002B2CF9AE}" pid="6" name="Producer">
    <vt:lpwstr>Adobe PDF Library 25.1.211</vt:lpwstr>
  </property>
  <property fmtid="{D5CDD505-2E9C-101B-9397-08002B2CF9AE}" pid="7" name="SourceModified">
    <vt:lpwstr>D:20250331154419</vt:lpwstr>
  </property>
</Properties>
</file>